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66087"/>
      <w:bookmarkEnd w:id="0"/>
      <w:bookmarkStart w:id="1" w:name="_Hlt450051172"/>
      <w:bookmarkEnd w:id="1"/>
      <w:bookmarkStart w:id="2" w:name="_Hlt450039480"/>
      <w:bookmarkEnd w:id="2"/>
      <w:bookmarkStart w:id="3" w:name="_Hlt448930105"/>
      <w:bookmarkEnd w:id="3"/>
      <w:bookmarkStart w:id="4" w:name="_Hlt449016246"/>
      <w:bookmarkEnd w:id="4"/>
      <w:bookmarkStart w:id="5" w:name="_Hlt450066085"/>
      <w:bookmarkEnd w:id="5"/>
      <w:bookmarkStart w:id="6" w:name="OLE_LINK49"/>
      <w:bookmarkStart w:id="7" w:name="OLE_LINK111"/>
      <w:bookmarkStart w:id="8" w:name="OLE_LINK27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14031</w:t>
      </w:r>
      <w:bookmarkStart w:id="11" w:name="_GoBack"/>
      <w:bookmarkEnd w:id="11"/>
    </w:p>
    <w:p>
      <w:pPr>
        <w:pStyle w:val="7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b/>
          <w:sz w:val="24"/>
        </w:rPr>
        <w:t>Prague, CZ</w:t>
      </w:r>
      <w:r>
        <w:rPr>
          <w:rFonts w:hint="eastAsia"/>
          <w:b/>
          <w:sz w:val="24"/>
          <w:lang w:val="en-US" w:eastAsia="zh-CN"/>
        </w:rPr>
        <w:t xml:space="preserve">, 13th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17th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Oct.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9" w:name="OLE_LINK8"/>
      <w:bookmarkStart w:id="10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9"/>
      <w:bookmarkEnd w:id="10"/>
      <w:r>
        <w:rPr>
          <w:rStyle w:val="60"/>
          <w:rFonts w:hint="eastAsia"/>
          <w:b/>
          <w:highlight w:val="none"/>
          <w:lang w:val="en-US" w:eastAsia="zh-CN"/>
        </w:rPr>
        <w:t xml:space="preserve"> IoT-NTN PC1.5 single Tx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7.6.3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109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HPUE for NTN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initial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IoT-NTN PC1.5 single Tx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from UE RF requirements perspective.</w:t>
      </w:r>
    </w:p>
    <w:tbl>
      <w:tblPr>
        <w:tblStyle w:val="24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HPUE for NTN Core Part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Specify high power UE (HPUE) NB-IoT based IoT-NTN in FR1-NTN bands and the corresponding LTE NTN bands for the single uplink (UL) carrier scenario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IoT-NTN PC1.5 with 1Tx for handheld and non-handheld device types</w:t>
            </w:r>
          </w:p>
          <w:p>
            <w:pPr>
              <w:pStyle w:val="34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Example bands are Band 256 and 255</w:t>
            </w:r>
          </w:p>
          <w:p>
            <w:pPr>
              <w:pStyle w:val="34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Necessary Tx requirements, at least including</w:t>
            </w:r>
          </w:p>
          <w:p>
            <w:pPr>
              <w:pStyle w:val="34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Specify MPR and A-MPR for the example bands considering the regulation for the corresponding bands, if necessary</w:t>
            </w:r>
          </w:p>
          <w:p>
            <w:pPr>
              <w:pStyle w:val="34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Necessary Rx requirements, at least including</w:t>
            </w:r>
          </w:p>
          <w:p>
            <w:pPr>
              <w:pStyle w:val="34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Specify the RSD requirements on the example bands, if necessary</w:t>
            </w:r>
          </w:p>
          <w:p>
            <w:pPr>
              <w:pStyle w:val="34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Specify the necessary signaling to support the above objectives</w:t>
            </w:r>
          </w:p>
          <w:p>
            <w:pPr>
              <w:pStyle w:val="34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band agnostic requirements for UE power class specified for TN are expected to apply also to corresponding NR NTN power classes.</w:t>
            </w:r>
          </w:p>
          <w:p>
            <w:pPr>
              <w:pStyle w:val="34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bidi w:val="0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Rel-19, PC1 and PC2 with 1Tx were introduced for NB-IoT based IoT-NTN for both handheld and non-handheld UEs. For feasibility, GSM PA and satellite PA e.g. Iridium system were tested and analyzed, and it concluded that PC1 1Tx can achieved. For PC1.5 with 1Tx for NB-IoT based IoT-NTN, same analysis can be reused.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default"/>
          <w:b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>2.1 Tx requirements</w:t>
      </w:r>
    </w:p>
    <w:p>
      <w:pPr>
        <w:bidi w:val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Maximum output power</w:t>
      </w:r>
    </w:p>
    <w:p>
      <w:pPr>
        <w:bidi w:val="0"/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In the scope of this WID, the first thing is to introduce IoT-NTN PC1.5 with 1Tx for handheld and non-handheld device types in bands 256 and 255. For max output power for IoT-NTN PC1.5, it is proposed to reuse nominal MOP with +2/-3 tolerance.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1: It is proposed to reuse nominal MOP with +2/-3 tolerance for IoT-NTN PC1.5.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MPR/A-MPR</w:t>
      </w:r>
    </w:p>
    <w:p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During Rel-19 discussion, the following MPR/A-MPR assumption was agreed for PC1 and PC2 for NB-IoT.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34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Agreement:</w:t>
            </w:r>
          </w:p>
          <w:p>
            <w:pPr>
              <w:pStyle w:val="34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 xml:space="preserve">[3] dB post-PA insertion losses for calibration purpose </w:t>
            </w:r>
          </w:p>
          <w:p>
            <w:pPr>
              <w:pStyle w:val="34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For PC2, PC3 NR PA can also be considered for reference architecture</w:t>
            </w:r>
          </w:p>
          <w:p>
            <w:pPr>
              <w:pStyle w:val="34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 xml:space="preserve">Calibration point for PC2 (PC3 NR PA) (further update based on offline common view): 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DFT-s-OFDM QPSK 20 MHz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100RB0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4dB post PA loss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highlight w:val="none"/>
                <w:lang w:eastAsia="zh-CN"/>
              </w:rPr>
              <w:t>1</w:t>
            </w: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dB MPR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Carrier leakage</w:t>
            </w:r>
            <w:r>
              <w:rPr>
                <w:rFonts w:hint="eastAsia" w:eastAsia="宋体"/>
                <w:color w:val="auto"/>
                <w:sz w:val="20"/>
                <w:szCs w:val="20"/>
                <w:highlight w:val="none"/>
                <w:lang w:eastAsia="zh-CN"/>
              </w:rPr>
              <w:t>:</w:t>
            </w: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 xml:space="preserve"> 28 dBc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IQ image: 28 dBc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CIM3: 60 dBc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NR ACLR: 30dBc, other number is not precluded</w:t>
            </w:r>
          </w:p>
          <w:p>
            <w:pPr>
              <w:pStyle w:val="34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left="2376" w:hanging="360"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Calibration based on NB-IOT signal is not precluded.</w:t>
            </w:r>
          </w:p>
          <w:p>
            <w:pPr>
              <w:pStyle w:val="34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For PC1, consider adding [-34] dBc IQ-image and LO-leakage and 60 dBc CIM3 as another option for evaluation</w:t>
            </w:r>
          </w:p>
          <w:p>
            <w:pPr>
              <w:pStyle w:val="34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 xml:space="preserve">Calibration points for PC1 (based on NR PC2 PA) (further update based on offline common view): 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DFT-s-OFDM QPSK 20 MHz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100RB0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4dB post PA loss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1dB MPR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Carrier leakage</w:t>
            </w:r>
            <w:r>
              <w:rPr>
                <w:rFonts w:hint="eastAsia" w:eastAsia="宋体"/>
                <w:color w:val="auto"/>
                <w:sz w:val="20"/>
                <w:szCs w:val="20"/>
                <w:highlight w:val="none"/>
                <w:lang w:eastAsia="zh-CN"/>
              </w:rPr>
              <w:t>:</w:t>
            </w: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 xml:space="preserve"> 28 dBc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IQ image: 28 / [-34]dBc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CIM3: 60 dBc</w:t>
            </w:r>
          </w:p>
          <w:p>
            <w:pPr>
              <w:pStyle w:val="34"/>
              <w:numPr>
                <w:ilvl w:val="3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NR ACLR: 31dBc, other number is not precluded</w:t>
            </w:r>
          </w:p>
          <w:p>
            <w:pPr>
              <w:pStyle w:val="34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Calibration based on NB-IOT signal is not precluded.</w:t>
            </w:r>
          </w:p>
        </w:tc>
      </w:tr>
    </w:tbl>
    <w:p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Regarding MPR/A-MPR assumptions for IoT-NTN PC1.5 single Tx, we proposed to use a average value with 31dBc for IQ image.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2: It is proposed to use the following MPR/A-MPR assumptions for IoT-NTN PC1.5 single Tx:</w:t>
      </w:r>
    </w:p>
    <w:p>
      <w:pPr>
        <w:pStyle w:val="34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Calibration point for PC</w:t>
      </w:r>
      <w:r>
        <w:rPr>
          <w:rFonts w:hint="eastAsia" w:eastAsia="宋体"/>
          <w:b/>
          <w:bCs/>
          <w:color w:val="auto"/>
          <w:sz w:val="20"/>
          <w:szCs w:val="20"/>
          <w:highlight w:val="none"/>
          <w:lang w:val="en-US" w:eastAsia="zh-CN"/>
        </w:rPr>
        <w:t>1.5</w:t>
      </w: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 xml:space="preserve"> (PC</w:t>
      </w:r>
      <w:r>
        <w:rPr>
          <w:rFonts w:hint="eastAsia" w:eastAsia="宋体"/>
          <w:b/>
          <w:bCs/>
          <w:color w:val="auto"/>
          <w:sz w:val="20"/>
          <w:szCs w:val="20"/>
          <w:highlight w:val="none"/>
          <w:lang w:val="en-US" w:eastAsia="zh-CN"/>
        </w:rPr>
        <w:t>2</w:t>
      </w: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 xml:space="preserve"> NR PA): 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DFT-s-OFDM QPSK 20 MHz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100RB0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4dB post PA loss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eastAsia="宋体"/>
          <w:b/>
          <w:bCs/>
          <w:color w:val="auto"/>
          <w:sz w:val="20"/>
          <w:szCs w:val="20"/>
          <w:highlight w:val="none"/>
          <w:lang w:eastAsia="zh-CN"/>
        </w:rPr>
        <w:t>1</w:t>
      </w: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dB MPR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Carrier leakage</w:t>
      </w:r>
      <w:r>
        <w:rPr>
          <w:rFonts w:hint="eastAsia" w:eastAsia="宋体"/>
          <w:b/>
          <w:bCs/>
          <w:color w:val="auto"/>
          <w:sz w:val="20"/>
          <w:szCs w:val="20"/>
          <w:highlight w:val="none"/>
          <w:lang w:eastAsia="zh-CN"/>
        </w:rPr>
        <w:t>:</w:t>
      </w: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 xml:space="preserve"> 28 dBc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 xml:space="preserve">IQ image: </w:t>
      </w:r>
      <w:r>
        <w:rPr>
          <w:rFonts w:hint="eastAsia" w:eastAsia="宋体"/>
          <w:b/>
          <w:bCs/>
          <w:color w:val="auto"/>
          <w:sz w:val="20"/>
          <w:szCs w:val="20"/>
          <w:highlight w:val="none"/>
          <w:lang w:val="en-US" w:eastAsia="zh-CN"/>
        </w:rPr>
        <w:t>31</w:t>
      </w: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 xml:space="preserve"> dBc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CIM3: 60 dBc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NR ACLR: 3</w:t>
      </w:r>
      <w:r>
        <w:rPr>
          <w:rFonts w:hint="eastAsia" w:eastAsia="宋体"/>
          <w:b/>
          <w:bCs/>
          <w:color w:val="auto"/>
          <w:sz w:val="20"/>
          <w:szCs w:val="20"/>
          <w:highlight w:val="none"/>
          <w:lang w:val="en-US" w:eastAsia="zh-CN"/>
        </w:rPr>
        <w:t>1dB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</w:p>
    <w:p>
      <w:pPr>
        <w:bidi w:val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ACLR</w:t>
      </w:r>
    </w:p>
    <w:p>
      <w:pPr>
        <w:bidi w:val="0"/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During Rel-19 IoT-NTN HPUE discussion, ACLR requirement was defined as 37 dB for PC1 and PC2 for both handheld and non-handheld UEs, which is reused UTRA ACLR. Since 37 dB ACLR can ensure the coexistence for PC1, for a lower power class, 37 dB ACLR also can be used. Therefore, we propose to reuse 37dB UTRA ACLR for IoT-NTN PC1.5 for both handheld and non-handheld UEs.</w:t>
      </w:r>
    </w:p>
    <w:p>
      <w:pPr>
        <w:bidi w:val="0"/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3: It is proposed to reuse 37 dB UTRA ACLR for IoT-NTN PC1.5 for both handheld and non-handheld UEs.</w:t>
      </w:r>
    </w:p>
    <w:p>
      <w:pPr>
        <w:bidi w:val="0"/>
        <w:rPr>
          <w:rFonts w:hint="default"/>
          <w:b/>
          <w:bCs/>
          <w:sz w:val="20"/>
          <w:szCs w:val="18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>2.2 Rx requirements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REFSENS</w:t>
      </w:r>
    </w:p>
    <w:p>
      <w:pPr>
        <w:bidi w:val="0"/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For PC1 and PC2, no RSD is defined for NB-IoT based IoT-NTN since NB-IoT is half-duplex and Tx leakage would not impact Rx. With the same logic reused for PC1.5, it is proposed that no RSD needed for PC1.5 NB-IoT based IoT-NTN with 1Tx.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4: No RSD needed for PC1.5 NB-IoT based IoT-NTN with 1Tx.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UE RF requirements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for NTN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Ku band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1: It is proposed to reuse nominal MOP with +2/-3 tolerance for IoT-NTN PC1.5.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2: It is proposed to use the following MPR/A-MPR assumptions for IoT-NTN PC1.5 single Tx:</w:t>
      </w:r>
    </w:p>
    <w:p>
      <w:pPr>
        <w:pStyle w:val="34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Calibration point for PC</w:t>
      </w:r>
      <w:r>
        <w:rPr>
          <w:rFonts w:hint="eastAsia" w:eastAsia="宋体"/>
          <w:b/>
          <w:bCs/>
          <w:color w:val="auto"/>
          <w:sz w:val="20"/>
          <w:szCs w:val="20"/>
          <w:highlight w:val="none"/>
          <w:lang w:val="en-US" w:eastAsia="zh-CN"/>
        </w:rPr>
        <w:t>1.5</w:t>
      </w: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 xml:space="preserve"> (PC</w:t>
      </w:r>
      <w:r>
        <w:rPr>
          <w:rFonts w:hint="eastAsia" w:eastAsia="宋体"/>
          <w:b/>
          <w:bCs/>
          <w:color w:val="auto"/>
          <w:sz w:val="20"/>
          <w:szCs w:val="20"/>
          <w:highlight w:val="none"/>
          <w:lang w:val="en-US" w:eastAsia="zh-CN"/>
        </w:rPr>
        <w:t>2</w:t>
      </w: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 xml:space="preserve"> NR PA): 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DFT-s-OFDM QPSK 20 MHz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100RB0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4dB post PA loss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eastAsia="宋体"/>
          <w:b/>
          <w:bCs/>
          <w:color w:val="auto"/>
          <w:sz w:val="20"/>
          <w:szCs w:val="20"/>
          <w:highlight w:val="none"/>
          <w:lang w:eastAsia="zh-CN"/>
        </w:rPr>
        <w:t>1</w:t>
      </w: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dB MPR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Carrier leakage</w:t>
      </w:r>
      <w:r>
        <w:rPr>
          <w:rFonts w:hint="eastAsia" w:eastAsia="宋体"/>
          <w:b/>
          <w:bCs/>
          <w:color w:val="auto"/>
          <w:sz w:val="20"/>
          <w:szCs w:val="20"/>
          <w:highlight w:val="none"/>
          <w:lang w:eastAsia="zh-CN"/>
        </w:rPr>
        <w:t>:</w:t>
      </w: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 xml:space="preserve"> 28 dBc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 xml:space="preserve">IQ image: </w:t>
      </w:r>
      <w:r>
        <w:rPr>
          <w:rFonts w:hint="eastAsia" w:eastAsia="宋体"/>
          <w:b/>
          <w:bCs/>
          <w:color w:val="auto"/>
          <w:sz w:val="20"/>
          <w:szCs w:val="20"/>
          <w:highlight w:val="none"/>
          <w:lang w:val="en-US" w:eastAsia="zh-CN"/>
        </w:rPr>
        <w:t>31</w:t>
      </w: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 xml:space="preserve"> dBc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CIM3: 60 dBc</w:t>
      </w:r>
    </w:p>
    <w:p>
      <w:pPr>
        <w:pStyle w:val="34"/>
        <w:keepNext w:val="0"/>
        <w:keepLines w:val="0"/>
        <w:pageBreakBefore w:val="0"/>
        <w:widowControl/>
        <w:numPr>
          <w:ilvl w:val="3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400" w:hanging="363" w:firstLineChars="0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eastAsia="宋体"/>
          <w:b/>
          <w:bCs/>
          <w:color w:val="auto"/>
          <w:sz w:val="20"/>
          <w:szCs w:val="20"/>
          <w:highlight w:val="none"/>
          <w:lang w:eastAsia="zh-CN"/>
        </w:rPr>
        <w:t>NR ACLR: 3</w:t>
      </w:r>
      <w:r>
        <w:rPr>
          <w:rFonts w:hint="eastAsia" w:eastAsia="宋体"/>
          <w:b/>
          <w:bCs/>
          <w:color w:val="auto"/>
          <w:sz w:val="20"/>
          <w:szCs w:val="20"/>
          <w:highlight w:val="none"/>
          <w:lang w:val="en-US" w:eastAsia="zh-CN"/>
        </w:rPr>
        <w:t>1dB</w:t>
      </w:r>
    </w:p>
    <w:p>
      <w:pPr>
        <w:bidi w:val="0"/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3: It is proposed to reuse 37 dB UTRA ACLR for IoT-NTN PC1.5 for both handheld and non-handheld UEs.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4: No RSD needed for PC1.5 NB-IoT based IoT-NTN with 1Tx.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RP-252962, New WID on Enhanced requirements for NR NTN and IoT NTN Phase 2, Moderator (RAN4 VC, Qualcomm Incorporated)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C1928C"/>
    <w:multiLevelType w:val="singleLevel"/>
    <w:tmpl w:val="97C1928C"/>
    <w:lvl w:ilvl="0" w:tentative="0">
      <w:start w:val="1"/>
      <w:numFmt w:val="bullet"/>
      <w:lvlText w:val="▪"/>
      <w:lvlJc w:val="left"/>
      <w:pPr>
        <w:ind w:left="420" w:leftChars="0" w:hanging="420" w:firstLineChars="0"/>
      </w:pPr>
      <w:rPr>
        <w:rFonts w:hint="default" w:ascii="Times New Roman" w:hAnsi="Times New Roman" w:cs="Times New Roman"/>
      </w:rPr>
    </w:lvl>
  </w:abstractNum>
  <w:abstractNum w:abstractNumId="1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2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3">
    <w:nsid w:val="0B1300A8"/>
    <w:multiLevelType w:val="multilevel"/>
    <w:tmpl w:val="0B1300A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8573D41"/>
    <w:multiLevelType w:val="multilevel"/>
    <w:tmpl w:val="58573D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9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11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4100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A7845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386E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0687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C44392"/>
    <w:rsid w:val="02D16C80"/>
    <w:rsid w:val="02DC3F9C"/>
    <w:rsid w:val="02E3105C"/>
    <w:rsid w:val="02E63DE2"/>
    <w:rsid w:val="02F679B9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B86472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2E671D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74107"/>
    <w:rsid w:val="04782230"/>
    <w:rsid w:val="0479507E"/>
    <w:rsid w:val="04814AEF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00083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4E3838"/>
    <w:rsid w:val="0654187C"/>
    <w:rsid w:val="065475DE"/>
    <w:rsid w:val="06556C03"/>
    <w:rsid w:val="06676354"/>
    <w:rsid w:val="066E5330"/>
    <w:rsid w:val="06782F84"/>
    <w:rsid w:val="067C28D6"/>
    <w:rsid w:val="067F5F89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2652A"/>
    <w:rsid w:val="0889002B"/>
    <w:rsid w:val="08991502"/>
    <w:rsid w:val="089B79D9"/>
    <w:rsid w:val="08A44DA6"/>
    <w:rsid w:val="08AA245A"/>
    <w:rsid w:val="08AD2ACC"/>
    <w:rsid w:val="08AF46A5"/>
    <w:rsid w:val="08BA6E24"/>
    <w:rsid w:val="08C024D5"/>
    <w:rsid w:val="08C562FD"/>
    <w:rsid w:val="08CA27B1"/>
    <w:rsid w:val="08E916DF"/>
    <w:rsid w:val="08EB38B6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407E7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1E494F"/>
    <w:rsid w:val="0C3427D0"/>
    <w:rsid w:val="0C3B2E96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D12914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B1E9C"/>
    <w:rsid w:val="0D1C2E6E"/>
    <w:rsid w:val="0D4B44A1"/>
    <w:rsid w:val="0D6811B4"/>
    <w:rsid w:val="0D6E2620"/>
    <w:rsid w:val="0D704E21"/>
    <w:rsid w:val="0D7F48FE"/>
    <w:rsid w:val="0D7F7318"/>
    <w:rsid w:val="0D883C88"/>
    <w:rsid w:val="0D8A6002"/>
    <w:rsid w:val="0D9074CF"/>
    <w:rsid w:val="0D936E72"/>
    <w:rsid w:val="0D966BF7"/>
    <w:rsid w:val="0DB54F84"/>
    <w:rsid w:val="0DB84465"/>
    <w:rsid w:val="0DC725FF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5B570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EEE42A2"/>
    <w:rsid w:val="0F0621F6"/>
    <w:rsid w:val="0F103291"/>
    <w:rsid w:val="0F15660A"/>
    <w:rsid w:val="0F1D0EA6"/>
    <w:rsid w:val="0F1D498B"/>
    <w:rsid w:val="0F22242C"/>
    <w:rsid w:val="0F2D0B0D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54A43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DA4653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E0D67"/>
    <w:rsid w:val="122F0F93"/>
    <w:rsid w:val="123A05DB"/>
    <w:rsid w:val="124240B9"/>
    <w:rsid w:val="12491684"/>
    <w:rsid w:val="124D0988"/>
    <w:rsid w:val="124E44B4"/>
    <w:rsid w:val="126532DD"/>
    <w:rsid w:val="12680E73"/>
    <w:rsid w:val="127144E0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91CAC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A502D0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E60B5A"/>
    <w:rsid w:val="18F74015"/>
    <w:rsid w:val="19001FFC"/>
    <w:rsid w:val="19083894"/>
    <w:rsid w:val="190E2B4A"/>
    <w:rsid w:val="19184305"/>
    <w:rsid w:val="19254172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CF3820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352E58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13C87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35C17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212D4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9B77F5"/>
    <w:rsid w:val="1C9F3B2C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454A8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DEF316F"/>
    <w:rsid w:val="1E105A20"/>
    <w:rsid w:val="1E164B52"/>
    <w:rsid w:val="1E26583C"/>
    <w:rsid w:val="1E273844"/>
    <w:rsid w:val="1E2945B6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B1886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9497E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58C9"/>
    <w:rsid w:val="1FCA0687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D3C33"/>
    <w:rsid w:val="226E0A7E"/>
    <w:rsid w:val="227E0D30"/>
    <w:rsid w:val="227E7CD6"/>
    <w:rsid w:val="228A4698"/>
    <w:rsid w:val="22925971"/>
    <w:rsid w:val="22945167"/>
    <w:rsid w:val="229B0BE2"/>
    <w:rsid w:val="229C464B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2A4D36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26CCB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502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5E28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47D76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948BD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E6567"/>
    <w:rsid w:val="2CCB6E18"/>
    <w:rsid w:val="2CCF5C52"/>
    <w:rsid w:val="2CE01F07"/>
    <w:rsid w:val="2CE80ABF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596827"/>
    <w:rsid w:val="2E5F4987"/>
    <w:rsid w:val="2E600E38"/>
    <w:rsid w:val="2E7258DC"/>
    <w:rsid w:val="2E7545D2"/>
    <w:rsid w:val="2E79458E"/>
    <w:rsid w:val="2E797A78"/>
    <w:rsid w:val="2E7A5F31"/>
    <w:rsid w:val="2E7C6A94"/>
    <w:rsid w:val="2E8203DE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07393"/>
    <w:rsid w:val="2FA417BA"/>
    <w:rsid w:val="2FA6492D"/>
    <w:rsid w:val="2FC86676"/>
    <w:rsid w:val="2FD17A1B"/>
    <w:rsid w:val="2FD71CA4"/>
    <w:rsid w:val="2FDC432A"/>
    <w:rsid w:val="2FDC4A8D"/>
    <w:rsid w:val="2FDD73CC"/>
    <w:rsid w:val="2FE27109"/>
    <w:rsid w:val="2FEA743A"/>
    <w:rsid w:val="2FF24D11"/>
    <w:rsid w:val="2FF93066"/>
    <w:rsid w:val="2FFF08B3"/>
    <w:rsid w:val="30114224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9C1DD6"/>
    <w:rsid w:val="30A13F14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A3506F"/>
    <w:rsid w:val="32B52836"/>
    <w:rsid w:val="32DF351E"/>
    <w:rsid w:val="32EE5E41"/>
    <w:rsid w:val="32F1510B"/>
    <w:rsid w:val="32F40F87"/>
    <w:rsid w:val="32F520B9"/>
    <w:rsid w:val="32FD7C76"/>
    <w:rsid w:val="330414AF"/>
    <w:rsid w:val="330C22FC"/>
    <w:rsid w:val="330F332B"/>
    <w:rsid w:val="33231081"/>
    <w:rsid w:val="332A6617"/>
    <w:rsid w:val="33432E06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1F37C9"/>
    <w:rsid w:val="342763E9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292624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111B1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54845"/>
    <w:rsid w:val="36BD0DC4"/>
    <w:rsid w:val="36D51D00"/>
    <w:rsid w:val="36D66B5E"/>
    <w:rsid w:val="36D86634"/>
    <w:rsid w:val="36DE4AF9"/>
    <w:rsid w:val="36E410A4"/>
    <w:rsid w:val="36E93760"/>
    <w:rsid w:val="36EE0289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424A45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5D0BD6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C2C5B"/>
    <w:rsid w:val="3EF31E7F"/>
    <w:rsid w:val="3EF36DF0"/>
    <w:rsid w:val="3F003339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A261A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C11715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571ABC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2FE087A"/>
    <w:rsid w:val="430E7E66"/>
    <w:rsid w:val="431C35C1"/>
    <w:rsid w:val="431C44AA"/>
    <w:rsid w:val="43264229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7201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595C53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7327A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A77D7E"/>
    <w:rsid w:val="47B922BA"/>
    <w:rsid w:val="47C01792"/>
    <w:rsid w:val="47C57A48"/>
    <w:rsid w:val="47D511BD"/>
    <w:rsid w:val="4808150F"/>
    <w:rsid w:val="480D4DFD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4765B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B203DB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1A4990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0346C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6C6998"/>
    <w:rsid w:val="4F844A99"/>
    <w:rsid w:val="4F8F6520"/>
    <w:rsid w:val="4F94662C"/>
    <w:rsid w:val="4FA54C20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3547D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A27BD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B53C3"/>
    <w:rsid w:val="513E7AC2"/>
    <w:rsid w:val="513F6CC6"/>
    <w:rsid w:val="51471753"/>
    <w:rsid w:val="514B684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94756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330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25A3A"/>
    <w:rsid w:val="531C3F9F"/>
    <w:rsid w:val="53210238"/>
    <w:rsid w:val="532F77EA"/>
    <w:rsid w:val="53343870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7D5FDD"/>
    <w:rsid w:val="54B06F11"/>
    <w:rsid w:val="54B56DF4"/>
    <w:rsid w:val="54B93943"/>
    <w:rsid w:val="54BE5578"/>
    <w:rsid w:val="54BF52B5"/>
    <w:rsid w:val="54D202CA"/>
    <w:rsid w:val="54D54E59"/>
    <w:rsid w:val="54DD41DB"/>
    <w:rsid w:val="54DE6BB8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707A2"/>
    <w:rsid w:val="55DD6F2A"/>
    <w:rsid w:val="55E73480"/>
    <w:rsid w:val="55E8339E"/>
    <w:rsid w:val="55F06771"/>
    <w:rsid w:val="560912EE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6FB76A2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9C4F51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43675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749B9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72466D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C10A96"/>
    <w:rsid w:val="59DC446C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EE2993"/>
    <w:rsid w:val="5DFD51DB"/>
    <w:rsid w:val="5E0B017F"/>
    <w:rsid w:val="5E0B0848"/>
    <w:rsid w:val="5E1D4A67"/>
    <w:rsid w:val="5E1F2E4C"/>
    <w:rsid w:val="5E237029"/>
    <w:rsid w:val="5E3358BB"/>
    <w:rsid w:val="5E3A3BD1"/>
    <w:rsid w:val="5E3E6E2C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24F"/>
    <w:rsid w:val="5F6E768C"/>
    <w:rsid w:val="5F875C0C"/>
    <w:rsid w:val="5F89013A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5FFF04A2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233CA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B023D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3F2524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17689"/>
    <w:rsid w:val="62C376AC"/>
    <w:rsid w:val="62CE13CB"/>
    <w:rsid w:val="62D2197B"/>
    <w:rsid w:val="62DB028F"/>
    <w:rsid w:val="62EE4623"/>
    <w:rsid w:val="62F214BD"/>
    <w:rsid w:val="62F6011A"/>
    <w:rsid w:val="62FD2BA9"/>
    <w:rsid w:val="6314586E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B37325"/>
    <w:rsid w:val="63B811CF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24AD5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16DBE"/>
    <w:rsid w:val="64A7467B"/>
    <w:rsid w:val="64B53322"/>
    <w:rsid w:val="64C41B57"/>
    <w:rsid w:val="64C61AF8"/>
    <w:rsid w:val="64C86505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25A89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8FB56E3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700F7"/>
    <w:rsid w:val="695D6B21"/>
    <w:rsid w:val="69611EE7"/>
    <w:rsid w:val="69621F5B"/>
    <w:rsid w:val="696C708E"/>
    <w:rsid w:val="696F4D5D"/>
    <w:rsid w:val="69850877"/>
    <w:rsid w:val="698C13C5"/>
    <w:rsid w:val="69C12919"/>
    <w:rsid w:val="69C71624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CD3503"/>
    <w:rsid w:val="6AD3247E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DD78C3"/>
    <w:rsid w:val="6BE71622"/>
    <w:rsid w:val="6BE727F5"/>
    <w:rsid w:val="6BF021D6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C92E85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E9744F"/>
    <w:rsid w:val="6EEA2AC7"/>
    <w:rsid w:val="6EEC3F7C"/>
    <w:rsid w:val="6EF3602C"/>
    <w:rsid w:val="6EF65A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73C04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773350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84778"/>
    <w:rsid w:val="71C17B7E"/>
    <w:rsid w:val="71C7540C"/>
    <w:rsid w:val="71E857A5"/>
    <w:rsid w:val="71F64A63"/>
    <w:rsid w:val="71F870B8"/>
    <w:rsid w:val="71F9130C"/>
    <w:rsid w:val="72021233"/>
    <w:rsid w:val="720B2A1D"/>
    <w:rsid w:val="72197AB8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33FBD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0B24B6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316C41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1D09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6135C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25D57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B3EF5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11A09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932C9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0040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79">
    <w:name w:val="TableGrid5"/>
    <w:basedOn w:val="23"/>
    <w:qFormat/>
    <w:uiPriority w:val="39"/>
    <w:rPr>
      <w:rFonts w:eastAsia="PMingLiU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2025-10-03T09:47:36Z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08BC6300A3E5498CBFE427489C9E6D1A</vt:lpwstr>
  </property>
</Properties>
</file>